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6DF6B" w14:textId="432CE693" w:rsidR="00F03019" w:rsidRDefault="00427B04">
      <w:pPr>
        <w:rPr>
          <w:rFonts w:ascii="Noto Sans SC" w:eastAsia="Noto Sans SC" w:hAnsi="Noto Sans SC"/>
          <w:color w:val="1966A7"/>
          <w:sz w:val="36"/>
          <w:szCs w:val="36"/>
        </w:rPr>
      </w:pPr>
      <w:r>
        <w:rPr>
          <w:rFonts w:ascii="Noto Sans SC" w:eastAsia="Noto Sans SC" w:hAnsi="Noto Sans SC" w:hint="eastAsia"/>
          <w:color w:val="1966A7"/>
          <w:sz w:val="36"/>
          <w:szCs w:val="36"/>
        </w:rPr>
        <w:t>国家卫生健康委关于印发生物医学新技术临床转化应用审批工作规范（试行）的通知</w:t>
      </w:r>
    </w:p>
    <w:p w14:paraId="1BAD4C19" w14:textId="77777777" w:rsidR="00427B04" w:rsidRDefault="00427B04">
      <w:pPr>
        <w:rPr>
          <w:rFonts w:ascii="Noto Sans SC" w:eastAsia="Noto Sans SC" w:hAnsi="Noto Sans SC"/>
          <w:color w:val="1966A7"/>
          <w:sz w:val="36"/>
          <w:szCs w:val="36"/>
        </w:rPr>
      </w:pPr>
    </w:p>
    <w:p w14:paraId="3A1FC894" w14:textId="77777777" w:rsidR="00427B04" w:rsidRPr="00427B04" w:rsidRDefault="00427B04" w:rsidP="00427B04">
      <w:pPr>
        <w:widowControl/>
        <w:jc w:val="center"/>
        <w:rPr>
          <w:rFonts w:ascii="Noto Sans SC" w:eastAsia="Noto Sans SC" w:hAnsi="Noto Sans SC" w:cs="宋体"/>
          <w:color w:val="484848"/>
          <w:kern w:val="0"/>
          <w:sz w:val="15"/>
          <w:szCs w:val="15"/>
        </w:rPr>
      </w:pPr>
      <w:r w:rsidRPr="00427B04">
        <w:rPr>
          <w:rFonts w:ascii="微软雅黑" w:eastAsia="微软雅黑" w:hAnsi="微软雅黑" w:cs="宋体"/>
          <w:color w:val="979797"/>
          <w:kern w:val="0"/>
          <w:sz w:val="18"/>
          <w:szCs w:val="18"/>
        </w:rPr>
        <w:t>发布时间： 2026-04-30 来源: 科技教育司</w:t>
      </w:r>
    </w:p>
    <w:p w14:paraId="705E9A19" w14:textId="77777777" w:rsidR="00427B04" w:rsidRPr="00427B04" w:rsidRDefault="00427B04" w:rsidP="00427B04">
      <w:pPr>
        <w:widowControl/>
        <w:jc w:val="center"/>
        <w:rPr>
          <w:rFonts w:ascii="仿宋" w:eastAsia="仿宋" w:hAnsi="仿宋" w:cs="宋体"/>
          <w:color w:val="484848"/>
          <w:kern w:val="0"/>
          <w:sz w:val="32"/>
          <w:szCs w:val="32"/>
        </w:rPr>
      </w:pPr>
      <w:r w:rsidRPr="00427B04">
        <w:rPr>
          <w:rFonts w:ascii="仿宋" w:eastAsia="仿宋" w:hAnsi="仿宋" w:cs="宋体"/>
          <w:color w:val="484848"/>
          <w:kern w:val="0"/>
          <w:sz w:val="32"/>
          <w:szCs w:val="32"/>
        </w:rPr>
        <w:t>国卫科教发〔2026〕13号</w:t>
      </w:r>
    </w:p>
    <w:p w14:paraId="784AA418"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br/>
      </w:r>
    </w:p>
    <w:p w14:paraId="62862607" w14:textId="77777777" w:rsidR="00427B04" w:rsidRPr="00427B04" w:rsidRDefault="00427B04" w:rsidP="00427B04">
      <w:pPr>
        <w:widowControl/>
        <w:rPr>
          <w:rFonts w:ascii="仿宋" w:eastAsia="仿宋" w:hAnsi="仿宋" w:cs="宋体"/>
          <w:color w:val="484848"/>
          <w:kern w:val="0"/>
          <w:sz w:val="32"/>
          <w:szCs w:val="32"/>
        </w:rPr>
      </w:pPr>
      <w:r w:rsidRPr="00427B04">
        <w:rPr>
          <w:rFonts w:ascii="仿宋" w:eastAsia="仿宋" w:hAnsi="仿宋" w:cs="宋体"/>
          <w:color w:val="484848"/>
          <w:kern w:val="0"/>
          <w:sz w:val="32"/>
          <w:szCs w:val="32"/>
        </w:rPr>
        <w:t>各省、自治区、直辖市及新疆生产建设兵团卫生健康委，国家卫生健康委医疗管理服务指导中心、中国生物技术发展中心：</w:t>
      </w:r>
    </w:p>
    <w:p w14:paraId="4F6DB761"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为贯彻落实《生物医学新技术临床研究和临床转化应用管理条例》，规范生物医学新技术临床转化应用审批工作，促进生物医学新技术创新发展与合规转化，保障医疗质量安全，增进人民健康，我委制定了《生物医学新技术临床转化应用审批工作规范（试行）》。现印发给你们，请遵照执行。</w:t>
      </w:r>
    </w:p>
    <w:p w14:paraId="3F20E01A"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 </w:t>
      </w:r>
    </w:p>
    <w:p w14:paraId="6B421371" w14:textId="77777777" w:rsidR="00427B04" w:rsidRPr="00427B04" w:rsidRDefault="00427B04" w:rsidP="00427B04">
      <w:pPr>
        <w:widowControl/>
        <w:ind w:firstLine="480"/>
        <w:jc w:val="right"/>
        <w:rPr>
          <w:rFonts w:ascii="仿宋" w:eastAsia="仿宋" w:hAnsi="仿宋" w:cs="宋体"/>
          <w:color w:val="484848"/>
          <w:kern w:val="0"/>
          <w:sz w:val="32"/>
          <w:szCs w:val="32"/>
        </w:rPr>
      </w:pPr>
      <w:r w:rsidRPr="00427B04">
        <w:rPr>
          <w:rFonts w:ascii="仿宋" w:eastAsia="仿宋" w:hAnsi="仿宋" w:cs="宋体"/>
          <w:color w:val="484848"/>
          <w:kern w:val="0"/>
          <w:sz w:val="32"/>
          <w:szCs w:val="32"/>
        </w:rPr>
        <w:t>国家卫生健康委</w:t>
      </w:r>
    </w:p>
    <w:p w14:paraId="60F0D9A0" w14:textId="77777777" w:rsidR="00427B04" w:rsidRPr="00427B04" w:rsidRDefault="00427B04" w:rsidP="00427B04">
      <w:pPr>
        <w:widowControl/>
        <w:ind w:firstLine="480"/>
        <w:jc w:val="right"/>
        <w:rPr>
          <w:rFonts w:ascii="仿宋" w:eastAsia="仿宋" w:hAnsi="仿宋" w:cs="宋体"/>
          <w:color w:val="484848"/>
          <w:kern w:val="0"/>
          <w:sz w:val="32"/>
          <w:szCs w:val="32"/>
        </w:rPr>
      </w:pPr>
      <w:r w:rsidRPr="00427B04">
        <w:rPr>
          <w:rFonts w:ascii="仿宋" w:eastAsia="仿宋" w:hAnsi="仿宋" w:cs="Times New Roman"/>
          <w:color w:val="484848"/>
          <w:kern w:val="0"/>
          <w:sz w:val="32"/>
          <w:szCs w:val="32"/>
        </w:rPr>
        <w:t>202</w:t>
      </w:r>
      <w:r w:rsidRPr="00427B04">
        <w:rPr>
          <w:rFonts w:ascii="仿宋" w:eastAsia="仿宋" w:hAnsi="仿宋" w:cs="宋体"/>
          <w:color w:val="484848"/>
          <w:kern w:val="0"/>
          <w:sz w:val="32"/>
          <w:szCs w:val="32"/>
        </w:rPr>
        <w:t>6年4月30日</w:t>
      </w:r>
    </w:p>
    <w:p w14:paraId="12D9A778"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（信息公开形式：主动公开）</w:t>
      </w:r>
    </w:p>
    <w:p w14:paraId="42FA5FFD"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宋体" w:eastAsia="宋体" w:hAnsi="宋体" w:cs="宋体"/>
          <w:color w:val="484848"/>
          <w:kern w:val="0"/>
          <w:sz w:val="44"/>
          <w:szCs w:val="44"/>
        </w:rPr>
        <w:br/>
      </w:r>
    </w:p>
    <w:p w14:paraId="1A414BFF" w14:textId="77777777" w:rsidR="00427B04" w:rsidRPr="00427B04" w:rsidRDefault="00427B04" w:rsidP="00427B04">
      <w:pPr>
        <w:widowControl/>
        <w:ind w:firstLine="480"/>
        <w:jc w:val="center"/>
        <w:rPr>
          <w:rFonts w:ascii="仿宋" w:eastAsia="仿宋" w:hAnsi="仿宋" w:cs="宋体"/>
          <w:color w:val="484848"/>
          <w:kern w:val="0"/>
          <w:sz w:val="32"/>
          <w:szCs w:val="32"/>
        </w:rPr>
      </w:pPr>
      <w:r w:rsidRPr="00427B04">
        <w:rPr>
          <w:rFonts w:ascii="宋体" w:eastAsia="宋体" w:hAnsi="宋体" w:cs="宋体"/>
          <w:b/>
          <w:bCs/>
          <w:color w:val="484848"/>
          <w:kern w:val="0"/>
          <w:sz w:val="44"/>
          <w:szCs w:val="44"/>
        </w:rPr>
        <w:lastRenderedPageBreak/>
        <w:t>生物医学新技术临床转化应用</w:t>
      </w:r>
    </w:p>
    <w:p w14:paraId="560D3C5E" w14:textId="77777777" w:rsidR="00427B04" w:rsidRPr="00427B04" w:rsidRDefault="00427B04" w:rsidP="00427B04">
      <w:pPr>
        <w:widowControl/>
        <w:ind w:firstLine="480"/>
        <w:jc w:val="center"/>
        <w:rPr>
          <w:rFonts w:ascii="仿宋" w:eastAsia="仿宋" w:hAnsi="仿宋" w:cs="宋体"/>
          <w:color w:val="484848"/>
          <w:kern w:val="0"/>
          <w:sz w:val="32"/>
          <w:szCs w:val="32"/>
        </w:rPr>
      </w:pPr>
      <w:r w:rsidRPr="00427B04">
        <w:rPr>
          <w:rFonts w:ascii="宋体" w:eastAsia="宋体" w:hAnsi="宋体" w:cs="宋体"/>
          <w:b/>
          <w:bCs/>
          <w:color w:val="484848"/>
          <w:kern w:val="0"/>
          <w:sz w:val="44"/>
          <w:szCs w:val="44"/>
        </w:rPr>
        <w:t>审批工作规范</w:t>
      </w:r>
    </w:p>
    <w:p w14:paraId="54D1CDF8" w14:textId="77777777" w:rsidR="00427B04" w:rsidRPr="00427B04" w:rsidRDefault="00427B04" w:rsidP="00427B04">
      <w:pPr>
        <w:widowControl/>
        <w:ind w:firstLine="480"/>
        <w:jc w:val="center"/>
        <w:rPr>
          <w:rFonts w:ascii="仿宋" w:eastAsia="仿宋" w:hAnsi="仿宋" w:cs="宋体"/>
          <w:color w:val="484848"/>
          <w:kern w:val="0"/>
          <w:sz w:val="32"/>
          <w:szCs w:val="32"/>
        </w:rPr>
      </w:pPr>
      <w:r w:rsidRPr="00427B04">
        <w:rPr>
          <w:rFonts w:ascii="楷体" w:eastAsia="楷体" w:hAnsi="楷体" w:cs="宋体"/>
          <w:color w:val="484848"/>
          <w:kern w:val="0"/>
          <w:sz w:val="32"/>
          <w:szCs w:val="32"/>
        </w:rPr>
        <w:t>（试行）</w:t>
      </w:r>
    </w:p>
    <w:p w14:paraId="0FD78B8C"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 </w:t>
      </w:r>
    </w:p>
    <w:p w14:paraId="5B113547" w14:textId="77777777" w:rsidR="00427B04" w:rsidRPr="00427B04" w:rsidRDefault="00427B04" w:rsidP="00427B04">
      <w:pPr>
        <w:widowControl/>
        <w:ind w:firstLine="480"/>
        <w:jc w:val="center"/>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第一章 总则</w:t>
      </w:r>
    </w:p>
    <w:p w14:paraId="3E35C035"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第一条</w:t>
      </w:r>
      <w:r w:rsidRPr="00427B04">
        <w:rPr>
          <w:rFonts w:ascii="Calibri" w:eastAsia="仿宋" w:hAnsi="Calibri" w:cs="Calibri"/>
          <w:b/>
          <w:bCs/>
          <w:color w:val="484848"/>
          <w:kern w:val="0"/>
          <w:sz w:val="32"/>
          <w:szCs w:val="32"/>
        </w:rPr>
        <w:t> </w:t>
      </w:r>
      <w:r w:rsidRPr="00427B04">
        <w:rPr>
          <w:rFonts w:ascii="仿宋" w:eastAsia="仿宋" w:hAnsi="仿宋" w:cs="宋体"/>
          <w:color w:val="484848"/>
          <w:kern w:val="0"/>
          <w:sz w:val="32"/>
          <w:szCs w:val="32"/>
        </w:rPr>
        <w:t>为规范生物医学新技术临床转化应用审批，促进生物医学新技术创新发展与合规转化，保障医疗质量安全，根据《生物医学新技术临床研究和临床转化应用管理条例》，制定本规范。</w:t>
      </w:r>
    </w:p>
    <w:p w14:paraId="2F1B7BCF"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第二条</w:t>
      </w:r>
      <w:r w:rsidRPr="00427B04">
        <w:rPr>
          <w:rFonts w:ascii="Calibri" w:eastAsia="仿宋" w:hAnsi="Calibri" w:cs="Calibri"/>
          <w:b/>
          <w:bCs/>
          <w:color w:val="484848"/>
          <w:kern w:val="0"/>
          <w:sz w:val="32"/>
          <w:szCs w:val="32"/>
        </w:rPr>
        <w:t> </w:t>
      </w:r>
      <w:r w:rsidRPr="00427B04">
        <w:rPr>
          <w:rFonts w:ascii="仿宋" w:eastAsia="仿宋" w:hAnsi="仿宋" w:cs="宋体"/>
          <w:color w:val="484848"/>
          <w:kern w:val="0"/>
          <w:sz w:val="32"/>
          <w:szCs w:val="32"/>
        </w:rPr>
        <w:t>本规范适用于生物医学新技术临床转化应用审批的申请、受理、审查、决定、监督管理等工作。</w:t>
      </w:r>
    </w:p>
    <w:p w14:paraId="4C6983C6"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本规范所称生物医学新技术，是指以对健康状态作出判断或者预防治疗疾病、促进健康为目的，运用生物学原理，作用于人体细胞、分子水平，在我国境内尚未应用于临床的医学专业手段和措施。</w:t>
      </w:r>
    </w:p>
    <w:p w14:paraId="06F11907"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第三条</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已列入《生物医学新技术临床研究备案指导清单》的生物医学新技术，符合下列要求之一的，纳入生物医学新技术临床转化应用审批范围：</w:t>
      </w:r>
    </w:p>
    <w:p w14:paraId="6A59C9B4"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（一）个性化程度高，国内尚没有使用同类机制原理的药品获得上市许可或者已启动确证性临床试验；</w:t>
      </w:r>
    </w:p>
    <w:p w14:paraId="119BE605"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lastRenderedPageBreak/>
        <w:t>（二）用于治疗罕见病，国内尚没有使用同类机制原理、针对相同适应症的药品获得上市许可或者已启动确证性临床试验。</w:t>
      </w:r>
    </w:p>
    <w:p w14:paraId="24D40950"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对符合《医疗器械监督管理条例》医疗器械定义的，应当按照医疗器械法规要求开展相关注册工作，不纳入生物医学新技术临床转化应用审批范围。</w:t>
      </w:r>
    </w:p>
    <w:p w14:paraId="7575FE14"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第四条</w:t>
      </w:r>
      <w:r w:rsidRPr="00427B04">
        <w:rPr>
          <w:rFonts w:ascii="Calibri" w:eastAsia="仿宋" w:hAnsi="Calibri" w:cs="Calibri"/>
          <w:b/>
          <w:bCs/>
          <w:color w:val="484848"/>
          <w:kern w:val="0"/>
          <w:sz w:val="32"/>
          <w:szCs w:val="32"/>
        </w:rPr>
        <w:t> </w:t>
      </w:r>
      <w:r w:rsidRPr="00427B04">
        <w:rPr>
          <w:rFonts w:ascii="仿宋" w:eastAsia="仿宋" w:hAnsi="仿宋" w:cs="宋体"/>
          <w:color w:val="484848"/>
          <w:kern w:val="0"/>
          <w:sz w:val="32"/>
          <w:szCs w:val="32"/>
        </w:rPr>
        <w:t>国家卫生健康委负责全国生物医学新技术临床转化应用审批和监督管理工作。</w:t>
      </w:r>
    </w:p>
    <w:p w14:paraId="4AA13210"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中国生物技术发展中心（以下简称生物中心）作为专业机构，承担生物医学新技术临床转化应用申请的评估工作，协同配合临床转化应用后再评估工作。</w:t>
      </w:r>
    </w:p>
    <w:p w14:paraId="250A5FC3"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国家卫生健康委医疗管理服务指导中心（以下简称医管中心）作为专业机构，承担临床转化应用后的再评估工作，协同配合生物医学新技术临床转化应用的机构和人员资质、临床应用操作规范评估工作。</w:t>
      </w:r>
    </w:p>
    <w:p w14:paraId="1A088E6A"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生物中心与医管中心建立内部协调机制，确保有关评估与再评估工作统筹、协同开展。</w:t>
      </w:r>
    </w:p>
    <w:p w14:paraId="554C326D"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县级以上卫生健康部门负责本行政区域的生物医学新技术临床转化应用的监督管理工作。</w:t>
      </w:r>
    </w:p>
    <w:p w14:paraId="67376918"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第五条</w:t>
      </w:r>
      <w:r w:rsidRPr="00427B04">
        <w:rPr>
          <w:rFonts w:ascii="Noto Sans SC" w:eastAsia="Noto Sans SC" w:hAnsi="Noto Sans SC" w:cs="宋体"/>
          <w:color w:val="484848"/>
          <w:kern w:val="0"/>
          <w:sz w:val="32"/>
          <w:szCs w:val="32"/>
        </w:rPr>
        <w:t> </w:t>
      </w:r>
      <w:r w:rsidRPr="00427B04">
        <w:rPr>
          <w:rFonts w:ascii="仿宋" w:eastAsia="仿宋" w:hAnsi="仿宋" w:cs="宋体"/>
          <w:color w:val="484848"/>
          <w:kern w:val="0"/>
          <w:sz w:val="32"/>
          <w:szCs w:val="32"/>
        </w:rPr>
        <w:t>生物医学新技术临床转化应用审批遵循依法合规、公平公正、科学审慎原则，以临床价值为导向，鼓励创新，保证安全，积极推动生物医学新技术造福患者。</w:t>
      </w:r>
    </w:p>
    <w:p w14:paraId="53C7B454"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lastRenderedPageBreak/>
        <w:t> </w:t>
      </w:r>
    </w:p>
    <w:p w14:paraId="2F5DE8F6" w14:textId="77777777" w:rsidR="00427B04" w:rsidRPr="00427B04" w:rsidRDefault="00427B04" w:rsidP="00427B04">
      <w:pPr>
        <w:widowControl/>
        <w:ind w:firstLine="480"/>
        <w:jc w:val="center"/>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第二章 申请与受理</w:t>
      </w:r>
    </w:p>
    <w:p w14:paraId="40BEF52B"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第六条</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生物医学新技术申请临床转化应用，应当同时具备下列条件：</w:t>
      </w:r>
    </w:p>
    <w:p w14:paraId="78D03741"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（一）经依法备案并完成生物医学新技术临床研究；</w:t>
      </w:r>
    </w:p>
    <w:p w14:paraId="66E4A123"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（二）生物医学新技术临床研究证明该技术安全、有效，符合伦理原则；</w:t>
      </w:r>
    </w:p>
    <w:p w14:paraId="6C06A48A"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（三）在临床研究阶段，经多中心参与，遵守临床应用操作规范独立实施该技术，获得一致的安全性、有效性结论。</w:t>
      </w:r>
    </w:p>
    <w:p w14:paraId="55E32064"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第七条</w:t>
      </w:r>
      <w:r w:rsidRPr="00427B04">
        <w:rPr>
          <w:rFonts w:ascii="Calibri" w:eastAsia="仿宋" w:hAnsi="Calibri" w:cs="Calibri"/>
          <w:b/>
          <w:bCs/>
          <w:color w:val="484848"/>
          <w:kern w:val="0"/>
          <w:sz w:val="32"/>
          <w:szCs w:val="32"/>
        </w:rPr>
        <w:t> </w:t>
      </w:r>
      <w:r w:rsidRPr="00427B04">
        <w:rPr>
          <w:rFonts w:ascii="仿宋" w:eastAsia="仿宋" w:hAnsi="仿宋" w:cs="宋体"/>
          <w:color w:val="484848"/>
          <w:kern w:val="0"/>
          <w:sz w:val="32"/>
          <w:szCs w:val="32"/>
        </w:rPr>
        <w:t>生物医学新技术临床研究结束后，符合本规范第三条规定范围的，可以申请临床转化应用。发起生物医学新技术临床研究的机构（以下简称申请机构）应当向国家卫生健康委提出申请，提交《生物医学新技术临床转化应用申请书》（式样见附件1）及相关资料。</w:t>
      </w:r>
    </w:p>
    <w:p w14:paraId="055E89A7"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申请机构应当如实提交有关材料，反映真实情况，对申请材料的真实性、准确性、完整性负责，并承担法律责任。</w:t>
      </w:r>
    </w:p>
    <w:p w14:paraId="16D37FAC"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第八条</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国家卫生健康委行政审批受理窗口（生物中心办公区）收到生物医学新技术临床转化应用申请后，应当对申请材料进行形式审查（形式审查条件要求见附件2），根据下列情况分别作出处理：</w:t>
      </w:r>
    </w:p>
    <w:p w14:paraId="4AD59F35"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（一）申请事项不属于本部门职权范围或不符合审批范围的，作出不予受理决定，并出具《不予受理通知书》；</w:t>
      </w:r>
    </w:p>
    <w:p w14:paraId="0049972A"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lastRenderedPageBreak/>
        <w:t>（二）申请材料不齐全或不符合规定形式的，应在收到材料后</w:t>
      </w:r>
      <w:r w:rsidRPr="00427B04">
        <w:rPr>
          <w:rFonts w:ascii="仿宋" w:eastAsia="仿宋" w:hAnsi="仿宋" w:cs="Times New Roman"/>
          <w:color w:val="484848"/>
          <w:kern w:val="0"/>
          <w:sz w:val="32"/>
          <w:szCs w:val="32"/>
        </w:rPr>
        <w:t>5</w:t>
      </w:r>
      <w:r w:rsidRPr="00427B04">
        <w:rPr>
          <w:rFonts w:ascii="仿宋" w:eastAsia="仿宋" w:hAnsi="仿宋" w:cs="宋体"/>
          <w:color w:val="484848"/>
          <w:kern w:val="0"/>
          <w:sz w:val="32"/>
          <w:szCs w:val="32"/>
        </w:rPr>
        <w:t>个工作日内出具《补正材料通知书》，一次性告知申请机构需要补正的全部内容；补正的申请材料仍然不符合有关要求的，可以要求申请机构继续补正；</w:t>
      </w:r>
    </w:p>
    <w:p w14:paraId="2238D0BF"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（三）申请事项属于受理范围且材料齐全、符合规定的，作出受理决定，并出具《受理通知书》。</w:t>
      </w:r>
    </w:p>
    <w:p w14:paraId="78ACE27C"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b/>
          <w:bCs/>
          <w:color w:val="484848"/>
          <w:kern w:val="0"/>
          <w:sz w:val="32"/>
          <w:szCs w:val="32"/>
        </w:rPr>
        <w:t> </w:t>
      </w:r>
    </w:p>
    <w:p w14:paraId="1B79B8FE" w14:textId="77777777" w:rsidR="00427B04" w:rsidRPr="00427B04" w:rsidRDefault="00427B04" w:rsidP="00427B04">
      <w:pPr>
        <w:widowControl/>
        <w:ind w:firstLine="480"/>
        <w:jc w:val="center"/>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第三章 审查与决定</w:t>
      </w:r>
    </w:p>
    <w:p w14:paraId="27BAAB30"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第九条</w:t>
      </w:r>
      <w:r w:rsidRPr="00427B04">
        <w:rPr>
          <w:rFonts w:ascii="Calibri" w:eastAsia="仿宋" w:hAnsi="Calibri" w:cs="Calibri"/>
          <w:b/>
          <w:bCs/>
          <w:color w:val="484848"/>
          <w:kern w:val="0"/>
          <w:sz w:val="32"/>
          <w:szCs w:val="32"/>
        </w:rPr>
        <w:t> </w:t>
      </w:r>
      <w:r w:rsidRPr="00427B04">
        <w:rPr>
          <w:rFonts w:ascii="仿宋" w:eastAsia="仿宋" w:hAnsi="仿宋" w:cs="宋体"/>
          <w:color w:val="484848"/>
          <w:kern w:val="0"/>
          <w:sz w:val="32"/>
          <w:szCs w:val="32"/>
        </w:rPr>
        <w:t>生物医学新技术临床转化应用审查实行专家评估与部门审核相结合的方式。</w:t>
      </w:r>
    </w:p>
    <w:p w14:paraId="3F460BC8"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第十条</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国家卫生健康委自受理申请之日起</w:t>
      </w:r>
      <w:r w:rsidRPr="00427B04">
        <w:rPr>
          <w:rFonts w:ascii="仿宋" w:eastAsia="仿宋" w:hAnsi="仿宋" w:cs="Times New Roman"/>
          <w:color w:val="484848"/>
          <w:kern w:val="0"/>
          <w:sz w:val="32"/>
          <w:szCs w:val="32"/>
        </w:rPr>
        <w:t>5</w:t>
      </w:r>
      <w:r w:rsidRPr="00427B04">
        <w:rPr>
          <w:rFonts w:ascii="仿宋" w:eastAsia="仿宋" w:hAnsi="仿宋" w:cs="宋体"/>
          <w:color w:val="484848"/>
          <w:kern w:val="0"/>
          <w:sz w:val="32"/>
          <w:szCs w:val="32"/>
        </w:rPr>
        <w:t>个工作日内将申请材料转交生物中心进行评估。</w:t>
      </w:r>
    </w:p>
    <w:p w14:paraId="7D3ECC19"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生物中心收到申请材料后，应当会同医管中心从生物医学新技术临床研究和临床转化应用专家库中选取专家，组织开展材料核查、技术评估和伦理评估，提出评估意见，报国家卫生健康委。必要时，可以邀请专家库之外的专家参加评估。</w:t>
      </w:r>
    </w:p>
    <w:p w14:paraId="6D28D01E"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第十一条</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生物中心会同医管中心组织专家对申请材料的真实性、准确性和完整性进行核查，并按照《生物医学新技术风险分级指南》划定技术的风险等级。核查包括但不限于书面核查及现场核查等方式。</w:t>
      </w:r>
    </w:p>
    <w:p w14:paraId="51C5049C"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lastRenderedPageBreak/>
        <w:t>核查过程中需要补充资料的，应当及时书面告知申请机构，申请机构应当按照要求及时补充有关资料。</w:t>
      </w:r>
    </w:p>
    <w:p w14:paraId="0E4EBC4D"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根据核查工作需要，可以要求申请机构、临床研究机构及其他相关机构人员现场解答有关技术问题，申请机构、临床研究机构及其他相关机构应当予以配合。</w:t>
      </w:r>
    </w:p>
    <w:p w14:paraId="7D9A9176"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核查发现材料存在错误、缺漏或者存在重大问题、申请机构主动撤回等情形的，生物中心可作出“延期再审”或“终止审查”的评估意见。</w:t>
      </w:r>
    </w:p>
    <w:p w14:paraId="2DCB649D"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《生物医学新技术风险分级指南》由生物中心会同医管中心另行制定。</w:t>
      </w:r>
    </w:p>
    <w:p w14:paraId="6EDFA18A"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第十二条</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申请材料通过材料核查的，生物中心会同医管中心组织专家通过网络函审、会议评估、现场评估等方式进行技术评估和伦理评估。技术评估重点对拟转化技术的成熟度、安全性、有效性、应用该技术的医疗机构和卫生专业技术人员需要具备的条件、临床应用操作规范、质量控制标准以及风险防控措施等进行评估。伦理评估重点对技术的伦理合规性、权益保护、社会伦理与公共安全等进行评估。对技术风险等级高或者存在重大争议的新技术，以及专家评估认为有必要的，生物中心、医管中心可组织专家开展现场评估。</w:t>
      </w:r>
    </w:p>
    <w:p w14:paraId="1445286A"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开展核查评估期间，生物中心发现不属于生物医学新技术临床转化应用审批范围的，应当作出“终止审查”的评估意见。</w:t>
      </w:r>
    </w:p>
    <w:p w14:paraId="3C2C38F5"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lastRenderedPageBreak/>
        <w:t>第十三条</w:t>
      </w:r>
      <w:r w:rsidRPr="00427B04">
        <w:rPr>
          <w:rFonts w:ascii="Calibri" w:eastAsia="仿宋" w:hAnsi="Calibri" w:cs="Calibri"/>
          <w:b/>
          <w:bCs/>
          <w:color w:val="484848"/>
          <w:kern w:val="0"/>
          <w:sz w:val="32"/>
          <w:szCs w:val="32"/>
        </w:rPr>
        <w:t> </w:t>
      </w:r>
      <w:r w:rsidRPr="00427B04">
        <w:rPr>
          <w:rFonts w:ascii="仿宋" w:eastAsia="仿宋" w:hAnsi="仿宋" w:cs="宋体"/>
          <w:color w:val="484848"/>
          <w:kern w:val="0"/>
          <w:sz w:val="32"/>
          <w:szCs w:val="32"/>
        </w:rPr>
        <w:t>根据材料核查、技术评估和伦理评估情况，生物中心组织专家提出“建议批准”“建议不予批准”“延期再审”“终止审查”等评估意见，并撰写评估报告。</w:t>
      </w:r>
    </w:p>
    <w:p w14:paraId="0791EFAA"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多中心临床研究证明该技术安全有效、成熟稳定，且符合伦理原则，应当提出“建议批准”评估意见。</w:t>
      </w:r>
    </w:p>
    <w:p w14:paraId="04A40C60"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有下列情形之一的，可以提出“建议不予批准”评估意见。</w:t>
      </w:r>
    </w:p>
    <w:p w14:paraId="247B7A85"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（一）申报资料显示技术明显尚未成熟或存在较大技术缺陷的；</w:t>
      </w:r>
    </w:p>
    <w:p w14:paraId="30180A46"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（二）申报资料不能证明技术的安全性、有效性、质量可控性确切，或者经评估认为实施该技术的临床必要性不足、风险大于获益的；</w:t>
      </w:r>
    </w:p>
    <w:p w14:paraId="254EDD9F"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（三）其他符合条件的医疗机构和卫生专业技术人员，遵守临床应用操作规范实施，无法取得一致的安全性、有效性结论的；</w:t>
      </w:r>
    </w:p>
    <w:p w14:paraId="5D98ED75"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（四）存在不可接受的社会伦理、公共安全、社会稳定风险，或者缺乏权益保护、可行的风险控制机制和对特殊/脆弱人群的保护措施的；</w:t>
      </w:r>
    </w:p>
    <w:p w14:paraId="4EDA9365"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（五）申请机构未按要求补充资料的；</w:t>
      </w:r>
    </w:p>
    <w:p w14:paraId="32556721"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（六）申请机构拒绝接受或者无正当理由不配合材料核查检验的；</w:t>
      </w:r>
    </w:p>
    <w:p w14:paraId="116223E0"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lastRenderedPageBreak/>
        <w:t>（七）材料核查、技术和伦理评估过程中认为申报资料不真实，申请机构不足以支撑其真实性的；</w:t>
      </w:r>
    </w:p>
    <w:p w14:paraId="7D06F567"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（八）法律法规规定的不应当批准的其他情形。</w:t>
      </w:r>
    </w:p>
    <w:p w14:paraId="0F0176FE"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第十四条</w:t>
      </w:r>
      <w:r w:rsidRPr="00427B04">
        <w:rPr>
          <w:rFonts w:ascii="Calibri" w:eastAsia="仿宋" w:hAnsi="Calibri" w:cs="Calibri"/>
          <w:b/>
          <w:bCs/>
          <w:color w:val="484848"/>
          <w:kern w:val="0"/>
          <w:sz w:val="32"/>
          <w:szCs w:val="32"/>
        </w:rPr>
        <w:t> </w:t>
      </w:r>
      <w:r w:rsidRPr="00427B04">
        <w:rPr>
          <w:rFonts w:ascii="仿宋" w:eastAsia="仿宋" w:hAnsi="仿宋" w:cs="宋体"/>
          <w:color w:val="484848"/>
          <w:kern w:val="0"/>
          <w:sz w:val="32"/>
          <w:szCs w:val="32"/>
        </w:rPr>
        <w:t>对于“建议批准”的生物医学新技术，由生物中心撰写技术解读材料，随评估报告、技术风险等级、应用该技术的医疗机构和卫生专业技术人员需要具备的条件、临床应用操作规范一同上报国家卫生健康委。</w:t>
      </w:r>
    </w:p>
    <w:p w14:paraId="463EAA71"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第十五条</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对于“建议不予批准”或“终止审查”的技术，告知申请机构并说明理由。申请机构可以在被告知后</w:t>
      </w:r>
      <w:r w:rsidRPr="00427B04">
        <w:rPr>
          <w:rFonts w:ascii="仿宋" w:eastAsia="仿宋" w:hAnsi="仿宋" w:cs="Times New Roman"/>
          <w:color w:val="484848"/>
          <w:kern w:val="0"/>
          <w:sz w:val="32"/>
          <w:szCs w:val="32"/>
        </w:rPr>
        <w:t>5</w:t>
      </w:r>
      <w:r w:rsidRPr="00427B04">
        <w:rPr>
          <w:rFonts w:ascii="仿宋" w:eastAsia="仿宋" w:hAnsi="仿宋" w:cs="宋体"/>
          <w:color w:val="484848"/>
          <w:kern w:val="0"/>
          <w:sz w:val="32"/>
          <w:szCs w:val="32"/>
        </w:rPr>
        <w:t>个工作日内，基于已提交的申报材料提出异议，生物中心结合申请机构的异议意见进行评估并反馈申请机构。</w:t>
      </w:r>
    </w:p>
    <w:p w14:paraId="6D1D856B"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申请机构对评估结果仍有异议的，生物中心应当组织专家论证，并综合专家论证结果形成最终评估意见并报国家卫生健康委。</w:t>
      </w:r>
    </w:p>
    <w:p w14:paraId="209447F1"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第十六条</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建议“延期再审”的生物医学新技术，应当通知申请机构，一次性告知补充材料内容及时限。申请机构按要求提交补充材料后，生物中心再次组织评估。</w:t>
      </w:r>
    </w:p>
    <w:p w14:paraId="7398BBF1"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第十七条</w:t>
      </w:r>
      <w:r w:rsidRPr="00427B04">
        <w:rPr>
          <w:rFonts w:ascii="Calibri" w:eastAsia="仿宋" w:hAnsi="Calibri" w:cs="Calibri"/>
          <w:b/>
          <w:bCs/>
          <w:color w:val="484848"/>
          <w:kern w:val="0"/>
          <w:sz w:val="32"/>
          <w:szCs w:val="32"/>
        </w:rPr>
        <w:t> </w:t>
      </w:r>
      <w:r w:rsidRPr="00427B04">
        <w:rPr>
          <w:rFonts w:ascii="仿宋" w:eastAsia="仿宋" w:hAnsi="仿宋" w:cs="宋体"/>
          <w:color w:val="484848"/>
          <w:kern w:val="0"/>
          <w:sz w:val="32"/>
          <w:szCs w:val="32"/>
        </w:rPr>
        <w:t>国家卫生健康委自收到生物中心报送的评估意见之日起15个工作日内，作出是否批准的决定。期间，国家卫生健康委可以组织有关部门进行审核。</w:t>
      </w:r>
    </w:p>
    <w:p w14:paraId="456F131F"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决定“批准”的生物医学新技术，由国家卫生健康委在官方网站及时发布公告，公布批准的技术名称、风险等级、</w:t>
      </w:r>
      <w:r w:rsidRPr="00427B04">
        <w:rPr>
          <w:rFonts w:ascii="仿宋" w:eastAsia="仿宋" w:hAnsi="仿宋" w:cs="宋体"/>
          <w:color w:val="484848"/>
          <w:kern w:val="0"/>
          <w:sz w:val="32"/>
          <w:szCs w:val="32"/>
        </w:rPr>
        <w:lastRenderedPageBreak/>
        <w:t>应用该技术的医疗机构和卫生专业技术人员应当具备的条件以及临床应用操作规范，制作《批准通知书》送达申请机构。</w:t>
      </w:r>
    </w:p>
    <w:p w14:paraId="513D6ECB"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决定“不予批准”或“终止审查”的技术，制作《不予行政许可决定书》或《终止审查通知书》，说明理由并告知申请机构依法申请行政复议或提起行政诉讼的权利和期限，送达申请机构。</w:t>
      </w:r>
    </w:p>
    <w:p w14:paraId="3CD0361E"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第十八条</w:t>
      </w:r>
      <w:r w:rsidRPr="00427B04">
        <w:rPr>
          <w:rFonts w:ascii="Calibri" w:eastAsia="仿宋" w:hAnsi="Calibri" w:cs="Calibri"/>
          <w:b/>
          <w:bCs/>
          <w:color w:val="484848"/>
          <w:kern w:val="0"/>
          <w:sz w:val="32"/>
          <w:szCs w:val="32"/>
        </w:rPr>
        <w:t> </w:t>
      </w:r>
      <w:r w:rsidRPr="00427B04">
        <w:rPr>
          <w:rFonts w:ascii="仿宋" w:eastAsia="仿宋" w:hAnsi="仿宋" w:cs="宋体"/>
          <w:color w:val="484848"/>
          <w:kern w:val="0"/>
          <w:sz w:val="32"/>
          <w:szCs w:val="32"/>
        </w:rPr>
        <w:t>用于治疗严重危及生命且尚无有效治疗手段的疾病以及公共卫生方面急需的生物医学新技术，申请机构可在提出临床转化应用申请时，提交优先审查审批申请表（见附件3）。</w:t>
      </w:r>
    </w:p>
    <w:p w14:paraId="1AB8E49B"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纳入优先审查审批范围的新技术，启动优先评估程序。</w:t>
      </w:r>
    </w:p>
    <w:p w14:paraId="4226E1A1"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核查评估过程中，发现纳入优先评估程序的新技术转化应用申请不能满足优先审查审批条件的，应当终止优先评估程序，按照正常程序进行评估，并告知申请机构。</w:t>
      </w:r>
    </w:p>
    <w:p w14:paraId="68AAB6BA"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第十九条</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为应对特别重大突发公共卫生事件或者其他严重威胁公众健康的紧急事件，国家卫生健康委经组织论证确有必要的，可以同意在一定范围和期限内紧急应用正在开展临床研究的生物医学新技术。具体规定另行制定。</w:t>
      </w:r>
    </w:p>
    <w:p w14:paraId="7830E438"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 </w:t>
      </w:r>
    </w:p>
    <w:p w14:paraId="06B032B5" w14:textId="77777777" w:rsidR="00427B04" w:rsidRPr="00427B04" w:rsidRDefault="00427B04" w:rsidP="00427B04">
      <w:pPr>
        <w:widowControl/>
        <w:ind w:firstLine="480"/>
        <w:jc w:val="center"/>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第四章</w:t>
      </w:r>
      <w:r w:rsidRPr="00427B04">
        <w:rPr>
          <w:rFonts w:ascii="黑体" w:eastAsia="黑体" w:hAnsi="黑体" w:cs="宋体"/>
          <w:color w:val="484848"/>
          <w:kern w:val="0"/>
          <w:sz w:val="32"/>
          <w:szCs w:val="32"/>
        </w:rPr>
        <w:t> </w:t>
      </w:r>
      <w:r w:rsidRPr="00427B04">
        <w:rPr>
          <w:rFonts w:ascii="黑体" w:eastAsia="黑体" w:hAnsi="黑体" w:cs="宋体"/>
          <w:color w:val="484848"/>
          <w:kern w:val="0"/>
          <w:sz w:val="32"/>
          <w:szCs w:val="32"/>
        </w:rPr>
        <w:t>临床应用管理</w:t>
      </w:r>
    </w:p>
    <w:p w14:paraId="3095EEB2"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lastRenderedPageBreak/>
        <w:t>第二十条</w:t>
      </w:r>
      <w:r w:rsidRPr="00427B04">
        <w:rPr>
          <w:rFonts w:ascii="Calibri" w:eastAsia="黑体" w:hAnsi="Calibri" w:cs="Calibri"/>
          <w:color w:val="484848"/>
          <w:kern w:val="0"/>
          <w:sz w:val="32"/>
          <w:szCs w:val="32"/>
        </w:rPr>
        <w:t> </w:t>
      </w:r>
      <w:r w:rsidRPr="00427B04">
        <w:rPr>
          <w:rFonts w:ascii="仿宋" w:eastAsia="仿宋" w:hAnsi="仿宋" w:cs="宋体"/>
          <w:color w:val="484848"/>
          <w:kern w:val="0"/>
          <w:sz w:val="32"/>
          <w:szCs w:val="32"/>
        </w:rPr>
        <w:t>经批准临床转化应用的生物医学新技术，临床应用涉及的生物样本采集、制备、质控、保存、实施等全过程，应当在符合条件的医疗机构，由符合条件的卫生专业技术人员按照有关规定，遵守临床应用操作规范开展。</w:t>
      </w:r>
    </w:p>
    <w:p w14:paraId="02F2EB33"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其中，高风险技术批准后5年内、中风险技术批准后</w:t>
      </w:r>
      <w:r w:rsidRPr="00427B04">
        <w:rPr>
          <w:rFonts w:ascii="仿宋" w:eastAsia="仿宋" w:hAnsi="仿宋" w:cs="Times New Roman"/>
          <w:color w:val="484848"/>
          <w:kern w:val="0"/>
          <w:sz w:val="32"/>
          <w:szCs w:val="32"/>
        </w:rPr>
        <w:t>3</w:t>
      </w:r>
      <w:r w:rsidRPr="00427B04">
        <w:rPr>
          <w:rFonts w:ascii="仿宋" w:eastAsia="仿宋" w:hAnsi="仿宋" w:cs="宋体"/>
          <w:color w:val="484848"/>
          <w:kern w:val="0"/>
          <w:sz w:val="32"/>
          <w:szCs w:val="32"/>
        </w:rPr>
        <w:t>年内、低风险技术批准后</w:t>
      </w:r>
      <w:r w:rsidRPr="00427B04">
        <w:rPr>
          <w:rFonts w:ascii="仿宋" w:eastAsia="仿宋" w:hAnsi="仿宋" w:cs="Times New Roman"/>
          <w:color w:val="484848"/>
          <w:kern w:val="0"/>
          <w:sz w:val="32"/>
          <w:szCs w:val="32"/>
        </w:rPr>
        <w:t>1</w:t>
      </w:r>
      <w:r w:rsidRPr="00427B04">
        <w:rPr>
          <w:rFonts w:ascii="仿宋" w:eastAsia="仿宋" w:hAnsi="仿宋" w:cs="宋体"/>
          <w:color w:val="484848"/>
          <w:kern w:val="0"/>
          <w:sz w:val="32"/>
          <w:szCs w:val="32"/>
        </w:rPr>
        <w:t>年内仅限在参与该技术临床研究且符合条件的医疗机构内开展临床应用。期满未出现本规范第二十三条第一款情形，或者再评估证实获益远大于风险的，其他符合条件的医疗机构方可开展临床应用，参照限制类医疗技术进行备案。</w:t>
      </w:r>
    </w:p>
    <w:p w14:paraId="3C35B069"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任何机构和个人不得将未经批准临床转化应用的生物医学新技术应用于临床。</w:t>
      </w:r>
    </w:p>
    <w:p w14:paraId="72BD7E6A"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第二十一条</w:t>
      </w:r>
      <w:r w:rsidRPr="00427B04">
        <w:rPr>
          <w:rFonts w:ascii="Noto Sans SC" w:eastAsia="Noto Sans SC" w:hAnsi="Noto Sans SC" w:cs="宋体"/>
          <w:color w:val="484848"/>
          <w:kern w:val="0"/>
          <w:sz w:val="32"/>
          <w:szCs w:val="32"/>
        </w:rPr>
        <w:t> </w:t>
      </w:r>
      <w:r w:rsidRPr="00427B04">
        <w:rPr>
          <w:rFonts w:ascii="仿宋" w:eastAsia="仿宋" w:hAnsi="仿宋" w:cs="宋体"/>
          <w:color w:val="484848"/>
          <w:kern w:val="0"/>
          <w:sz w:val="32"/>
          <w:szCs w:val="32"/>
        </w:rPr>
        <w:t>医疗机构承担生物医学新技术临床应用管理主体责任，应当建立生物医学新技术临床应用全流程管理制度。加强生物医学新技术质控工作，根据卫生专业技术人员业务能力和技术水平等，授予、调整或取消相应技术应用权限。</w:t>
      </w:r>
    </w:p>
    <w:p w14:paraId="6AA7AA48"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医疗机构开展生物医学新技术临床应用必须保障患者或其监护人的知情权，签署知情同意书。</w:t>
      </w:r>
    </w:p>
    <w:p w14:paraId="3D3C7D13"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医疗机构应当制定生物医学新技术临床应用风险预防控制措施、应急处置预案及病例随访相关制度。</w:t>
      </w:r>
    </w:p>
    <w:p w14:paraId="5497117A"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lastRenderedPageBreak/>
        <w:t>第二十二条</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医疗机构开展生物医学新技术临床应用，应当向所在地省级卫生健康部门逐例报送该技术的临床应用情况。临床应用过程中发生严重不良反应或者医疗事故的，医疗机构应当按照规定进行处理，并第一时间向所在地省级卫生健康部门报告。</w:t>
      </w:r>
    </w:p>
    <w:p w14:paraId="42864B6A"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前款所称报告，应当通过生物医学新技术临床研究和临床转化信息系统进行。</w:t>
      </w:r>
    </w:p>
    <w:p w14:paraId="3507F009"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第二十三条</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经批准临床转化应用的生物医学新技术有下列情形之一的，国家卫生健康委将对其安全性、有效性组织再评估，再评估期间暂停应用该技术：</w:t>
      </w:r>
    </w:p>
    <w:p w14:paraId="0C904A89"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（一）根据科学研究的发展，对该技术的安全性、有效性有认识上的改变；</w:t>
      </w:r>
    </w:p>
    <w:p w14:paraId="16882544"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（二）临床应用过程中发生严重不良反应或者出现不可控制的风险；</w:t>
      </w:r>
    </w:p>
    <w:p w14:paraId="000A5DBA"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（三）在临床应用过程中造成重大社会稳定风险或者发生影响社会稳定重大事件的；</w:t>
      </w:r>
    </w:p>
    <w:p w14:paraId="28BA48A4"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（四）国家卫生健康委规定的其他情形。</w:t>
      </w:r>
    </w:p>
    <w:p w14:paraId="0D818B88"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再评估工作由医管中心会同生物中心组织实施，临床应用安全性、有效性参照《医疗技术临床应用情况评估工作规程》进行，必要时组织专家再次进行技术评估。评估过程中同时进行卫生经济学评估，并与适应症相同的医疗技术、药品、医疗器械进行对比。</w:t>
      </w:r>
    </w:p>
    <w:p w14:paraId="3DD29A40"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lastRenderedPageBreak/>
        <w:t>参与临床转化应用审批的评估专家应当回避。</w:t>
      </w:r>
    </w:p>
    <w:p w14:paraId="53746BC8"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color w:val="484848"/>
          <w:kern w:val="0"/>
          <w:sz w:val="32"/>
          <w:szCs w:val="32"/>
        </w:rPr>
        <w:t>经评估不能保证安全、有效的，国家卫生健康委将禁止临床应用该技术并向社会公布。</w:t>
      </w:r>
    </w:p>
    <w:p w14:paraId="3457AC07"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第二十四条</w:t>
      </w:r>
      <w:r w:rsidRPr="00427B04">
        <w:rPr>
          <w:rFonts w:ascii="仿宋" w:eastAsia="仿宋" w:hAnsi="仿宋" w:cs="宋体"/>
          <w:b/>
          <w:bCs/>
          <w:color w:val="484848"/>
          <w:kern w:val="0"/>
          <w:sz w:val="32"/>
          <w:szCs w:val="32"/>
        </w:rPr>
        <w:t> </w:t>
      </w:r>
      <w:r w:rsidRPr="00427B04">
        <w:rPr>
          <w:rFonts w:ascii="仿宋" w:eastAsia="仿宋" w:hAnsi="仿宋" w:cs="宋体"/>
          <w:color w:val="484848"/>
          <w:kern w:val="0"/>
          <w:sz w:val="32"/>
          <w:szCs w:val="32"/>
        </w:rPr>
        <w:t>省级卫生健康部门应当建立健全生物医学新技术临床应用管理体系，加强技术指导。县级以上卫生健康部门应当对辖区内生物医学新技术临床应用情况进行监督检查，发现违法违规行为，按照《生物医学新技术临床研究和临床转化应用管理条例》等有关规定进行处理。</w:t>
      </w:r>
    </w:p>
    <w:p w14:paraId="226F5040" w14:textId="77777777" w:rsidR="00427B04" w:rsidRPr="00427B04" w:rsidRDefault="00427B04" w:rsidP="00427B04">
      <w:pPr>
        <w:widowControl/>
        <w:ind w:firstLine="480"/>
        <w:rPr>
          <w:rFonts w:ascii="仿宋" w:eastAsia="仿宋" w:hAnsi="仿宋" w:cs="宋体"/>
          <w:color w:val="484848"/>
          <w:kern w:val="0"/>
          <w:sz w:val="32"/>
          <w:szCs w:val="32"/>
        </w:rPr>
      </w:pPr>
      <w:r w:rsidRPr="00427B04">
        <w:rPr>
          <w:rFonts w:ascii="仿宋" w:eastAsia="仿宋" w:hAnsi="仿宋" w:cs="宋体"/>
          <w:b/>
          <w:bCs/>
          <w:color w:val="484848"/>
          <w:kern w:val="0"/>
          <w:sz w:val="32"/>
          <w:szCs w:val="32"/>
        </w:rPr>
        <w:t> </w:t>
      </w:r>
    </w:p>
    <w:p w14:paraId="23667A93" w14:textId="77777777" w:rsidR="00427B04" w:rsidRPr="00427B04" w:rsidRDefault="00427B04" w:rsidP="00427B04">
      <w:pPr>
        <w:widowControl/>
        <w:ind w:firstLine="480"/>
        <w:jc w:val="center"/>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第五章 附则</w:t>
      </w:r>
    </w:p>
    <w:p w14:paraId="2D790C48"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第二十五条</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本规范由国家卫生健康委负责解释。</w:t>
      </w:r>
    </w:p>
    <w:p w14:paraId="17D8E673" w14:textId="77777777" w:rsidR="00427B04" w:rsidRPr="00427B04" w:rsidRDefault="00427B04" w:rsidP="00427B04">
      <w:pPr>
        <w:widowControl/>
        <w:ind w:firstLine="480"/>
        <w:rPr>
          <w:rFonts w:ascii="Noto Sans SC" w:eastAsia="Noto Sans SC" w:hAnsi="Noto Sans SC" w:cs="宋体"/>
          <w:color w:val="484848"/>
          <w:kern w:val="0"/>
          <w:sz w:val="32"/>
          <w:szCs w:val="32"/>
        </w:rPr>
      </w:pPr>
      <w:r w:rsidRPr="00427B04">
        <w:rPr>
          <w:rFonts w:ascii="黑体" w:eastAsia="黑体" w:hAnsi="黑体" w:cs="宋体"/>
          <w:color w:val="484848"/>
          <w:kern w:val="0"/>
          <w:sz w:val="32"/>
          <w:szCs w:val="32"/>
        </w:rPr>
        <w:t>第二十六条</w:t>
      </w:r>
      <w:r w:rsidRPr="00427B04">
        <w:rPr>
          <w:rFonts w:ascii="仿宋" w:eastAsia="仿宋" w:hAnsi="仿宋" w:cs="宋体"/>
          <w:b/>
          <w:bCs/>
          <w:color w:val="484848"/>
          <w:kern w:val="0"/>
          <w:sz w:val="32"/>
          <w:szCs w:val="32"/>
        </w:rPr>
        <w:t> </w:t>
      </w:r>
      <w:r w:rsidRPr="00427B04">
        <w:rPr>
          <w:rFonts w:ascii="仿宋" w:eastAsia="仿宋" w:hAnsi="仿宋" w:cs="宋体"/>
          <w:color w:val="484848"/>
          <w:kern w:val="0"/>
          <w:sz w:val="32"/>
          <w:szCs w:val="32"/>
        </w:rPr>
        <w:t>本规范自</w:t>
      </w:r>
      <w:r w:rsidRPr="00427B04">
        <w:rPr>
          <w:rFonts w:ascii="仿宋" w:eastAsia="仿宋" w:hAnsi="仿宋" w:cs="Times New Roman"/>
          <w:color w:val="484848"/>
          <w:kern w:val="0"/>
          <w:sz w:val="32"/>
          <w:szCs w:val="32"/>
        </w:rPr>
        <w:t>2026</w:t>
      </w:r>
      <w:r w:rsidRPr="00427B04">
        <w:rPr>
          <w:rFonts w:ascii="仿宋" w:eastAsia="仿宋" w:hAnsi="仿宋" w:cs="宋体"/>
          <w:color w:val="484848"/>
          <w:kern w:val="0"/>
          <w:sz w:val="32"/>
          <w:szCs w:val="32"/>
        </w:rPr>
        <w:t>年</w:t>
      </w:r>
      <w:r w:rsidRPr="00427B04">
        <w:rPr>
          <w:rFonts w:ascii="仿宋" w:eastAsia="仿宋" w:hAnsi="仿宋" w:cs="Times New Roman"/>
          <w:color w:val="484848"/>
          <w:kern w:val="0"/>
          <w:sz w:val="32"/>
          <w:szCs w:val="32"/>
        </w:rPr>
        <w:t>5</w:t>
      </w:r>
      <w:r w:rsidRPr="00427B04">
        <w:rPr>
          <w:rFonts w:ascii="仿宋" w:eastAsia="仿宋" w:hAnsi="仿宋" w:cs="宋体"/>
          <w:color w:val="484848"/>
          <w:kern w:val="0"/>
          <w:sz w:val="32"/>
          <w:szCs w:val="32"/>
        </w:rPr>
        <w:t>月</w:t>
      </w:r>
      <w:r w:rsidRPr="00427B04">
        <w:rPr>
          <w:rFonts w:ascii="仿宋" w:eastAsia="仿宋" w:hAnsi="仿宋" w:cs="Times New Roman"/>
          <w:color w:val="484848"/>
          <w:kern w:val="0"/>
          <w:sz w:val="32"/>
          <w:szCs w:val="32"/>
        </w:rPr>
        <w:t>1</w:t>
      </w:r>
      <w:r w:rsidRPr="00427B04">
        <w:rPr>
          <w:rFonts w:ascii="仿宋" w:eastAsia="仿宋" w:hAnsi="仿宋" w:cs="宋体"/>
          <w:color w:val="484848"/>
          <w:kern w:val="0"/>
          <w:sz w:val="32"/>
          <w:szCs w:val="32"/>
        </w:rPr>
        <w:t>日起施行。</w:t>
      </w:r>
    </w:p>
    <w:p w14:paraId="770D7768" w14:textId="77777777" w:rsidR="00427B04" w:rsidRPr="00427B04" w:rsidRDefault="00427B04" w:rsidP="00427B04">
      <w:pPr>
        <w:widowControl/>
        <w:ind w:firstLine="480"/>
        <w:rPr>
          <w:rFonts w:ascii="仿宋" w:eastAsia="仿宋" w:hAnsi="仿宋" w:cs="宋体"/>
          <w:color w:val="484848"/>
          <w:kern w:val="0"/>
          <w:sz w:val="32"/>
          <w:szCs w:val="32"/>
        </w:rPr>
      </w:pPr>
      <w:bookmarkStart w:id="0" w:name="OLE_LINK1"/>
      <w:r w:rsidRPr="00427B04">
        <w:rPr>
          <w:rFonts w:ascii="仿宋" w:eastAsia="仿宋" w:hAnsi="仿宋" w:cs="宋体"/>
          <w:color w:val="484848"/>
          <w:kern w:val="0"/>
          <w:sz w:val="32"/>
          <w:szCs w:val="32"/>
        </w:rPr>
        <w:t> </w:t>
      </w:r>
    </w:p>
    <w:p w14:paraId="5AAAC25F" w14:textId="77777777" w:rsidR="00427B04" w:rsidRPr="00427B04" w:rsidRDefault="00427B04" w:rsidP="00427B04">
      <w:pPr>
        <w:widowControl/>
        <w:rPr>
          <w:rFonts w:ascii="仿宋" w:eastAsia="仿宋" w:hAnsi="仿宋" w:cs="宋体"/>
          <w:color w:val="484848"/>
          <w:kern w:val="0"/>
          <w:sz w:val="32"/>
          <w:szCs w:val="32"/>
        </w:rPr>
      </w:pP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附件：</w:t>
      </w:r>
      <w:r w:rsidRPr="00427B04">
        <w:rPr>
          <w:rFonts w:ascii="仿宋" w:eastAsia="仿宋" w:hAnsi="仿宋" w:cs="宋体"/>
          <w:noProof/>
          <w:color w:val="484848"/>
          <w:kern w:val="0"/>
          <w:sz w:val="32"/>
          <w:szCs w:val="32"/>
        </w:rPr>
        <w:drawing>
          <wp:inline distT="0" distB="0" distL="0" distR="0" wp14:anchorId="1B5B18FC" wp14:editId="10DA438E">
            <wp:extent cx="155575" cy="155575"/>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hyperlink r:id="rId7" w:tgtFrame="_blank" w:history="1">
        <w:r w:rsidRPr="00427B04">
          <w:rPr>
            <w:rFonts w:ascii="仿宋" w:eastAsia="仿宋" w:hAnsi="仿宋" w:cs="宋体"/>
            <w:color w:val="484848"/>
            <w:kern w:val="0"/>
            <w:sz w:val="32"/>
            <w:szCs w:val="32"/>
          </w:rPr>
          <w:t>1.</w:t>
        </w:r>
        <w:bookmarkStart w:id="1" w:name="OLE_LINK2"/>
        <w:r w:rsidRPr="00427B04">
          <w:rPr>
            <w:rFonts w:ascii="仿宋" w:eastAsia="仿宋" w:hAnsi="仿宋" w:cs="宋体"/>
            <w:color w:val="484848"/>
            <w:kern w:val="0"/>
            <w:sz w:val="32"/>
            <w:szCs w:val="32"/>
          </w:rPr>
          <w:t>生物医学新技术临床转化应用申请书</w:t>
        </w:r>
        <w:bookmarkEnd w:id="1"/>
      </w:hyperlink>
    </w:p>
    <w:p w14:paraId="63EF9E6F" w14:textId="77777777" w:rsidR="00427B04" w:rsidRPr="00427B04" w:rsidRDefault="00427B04" w:rsidP="00427B04">
      <w:pPr>
        <w:widowControl/>
        <w:rPr>
          <w:rFonts w:ascii="仿宋" w:eastAsia="仿宋" w:hAnsi="仿宋" w:cs="宋体"/>
          <w:color w:val="484848"/>
          <w:kern w:val="0"/>
          <w:sz w:val="32"/>
          <w:szCs w:val="32"/>
        </w:rPr>
      </w:pP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noProof/>
          <w:color w:val="484848"/>
          <w:kern w:val="0"/>
          <w:sz w:val="32"/>
          <w:szCs w:val="32"/>
        </w:rPr>
        <w:drawing>
          <wp:inline distT="0" distB="0" distL="0" distR="0" wp14:anchorId="205E676B" wp14:editId="60B23CA0">
            <wp:extent cx="155575" cy="155575"/>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hyperlink r:id="rId8" w:tgtFrame="_blank" w:history="1">
        <w:r w:rsidRPr="00427B04">
          <w:rPr>
            <w:rFonts w:ascii="仿宋" w:eastAsia="仿宋" w:hAnsi="仿宋" w:cs="宋体"/>
            <w:color w:val="484848"/>
            <w:kern w:val="0"/>
            <w:sz w:val="32"/>
            <w:szCs w:val="32"/>
          </w:rPr>
          <w:t>2.生物医学新技术临床转化应用申请形式审查条件要求</w:t>
        </w:r>
      </w:hyperlink>
    </w:p>
    <w:p w14:paraId="7A9E060D" w14:textId="77777777" w:rsidR="00427B04" w:rsidRPr="00427B04" w:rsidRDefault="00427B04" w:rsidP="00427B04">
      <w:pPr>
        <w:widowControl/>
        <w:rPr>
          <w:rFonts w:ascii="仿宋" w:eastAsia="仿宋" w:hAnsi="仿宋" w:cs="宋体"/>
          <w:color w:val="484848"/>
          <w:kern w:val="0"/>
          <w:sz w:val="32"/>
          <w:szCs w:val="32"/>
        </w:rPr>
      </w:pP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color w:val="484848"/>
          <w:kern w:val="0"/>
          <w:sz w:val="32"/>
          <w:szCs w:val="32"/>
        </w:rPr>
        <w:t> </w:t>
      </w:r>
      <w:r w:rsidRPr="00427B04">
        <w:rPr>
          <w:rFonts w:ascii="仿宋" w:eastAsia="仿宋" w:hAnsi="仿宋" w:cs="宋体"/>
          <w:noProof/>
          <w:color w:val="484848"/>
          <w:kern w:val="0"/>
          <w:sz w:val="32"/>
          <w:szCs w:val="32"/>
        </w:rPr>
        <w:drawing>
          <wp:inline distT="0" distB="0" distL="0" distR="0" wp14:anchorId="30CCAE47" wp14:editId="37469FB4">
            <wp:extent cx="155575" cy="155575"/>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hyperlink r:id="rId9" w:tgtFrame="_blank" w:history="1">
        <w:r w:rsidRPr="00427B04">
          <w:rPr>
            <w:rFonts w:ascii="仿宋" w:eastAsia="仿宋" w:hAnsi="仿宋" w:cs="宋体"/>
            <w:color w:val="484848"/>
            <w:kern w:val="0"/>
            <w:sz w:val="32"/>
            <w:szCs w:val="32"/>
          </w:rPr>
          <w:t>3.生物医学新技术临床转化应用优先审查审批申请表</w:t>
        </w:r>
      </w:hyperlink>
    </w:p>
    <w:bookmarkEnd w:id="0"/>
    <w:p w14:paraId="45088985" w14:textId="77777777" w:rsidR="00427B04" w:rsidRPr="00427B04" w:rsidRDefault="00427B04">
      <w:pPr>
        <w:rPr>
          <w:rFonts w:hint="eastAsia"/>
        </w:rPr>
      </w:pPr>
    </w:p>
    <w:sectPr w:rsidR="00427B04" w:rsidRPr="00427B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24CF3" w14:textId="77777777" w:rsidR="00A55C27" w:rsidRDefault="00A55C27" w:rsidP="00427B04">
      <w:pPr>
        <w:rPr>
          <w:rFonts w:hint="eastAsia"/>
        </w:rPr>
      </w:pPr>
      <w:r>
        <w:separator/>
      </w:r>
    </w:p>
  </w:endnote>
  <w:endnote w:type="continuationSeparator" w:id="0">
    <w:p w14:paraId="3DAEA63A" w14:textId="77777777" w:rsidR="00A55C27" w:rsidRDefault="00A55C27" w:rsidP="00427B0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oto Sans SC">
    <w:panose1 w:val="020B0200000000000000"/>
    <w:charset w:val="86"/>
    <w:family w:val="swiss"/>
    <w:pitch w:val="variable"/>
    <w:sig w:usb0="20000287" w:usb1="2ADF3C10" w:usb2="00000016" w:usb3="00000000" w:csb0="00060107"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621C6" w14:textId="77777777" w:rsidR="00A55C27" w:rsidRDefault="00A55C27" w:rsidP="00427B04">
      <w:pPr>
        <w:rPr>
          <w:rFonts w:hint="eastAsia"/>
        </w:rPr>
      </w:pPr>
      <w:r>
        <w:separator/>
      </w:r>
    </w:p>
  </w:footnote>
  <w:footnote w:type="continuationSeparator" w:id="0">
    <w:p w14:paraId="46D22884" w14:textId="77777777" w:rsidR="00A55C27" w:rsidRDefault="00A55C27" w:rsidP="00427B0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DA3"/>
    <w:rsid w:val="000452CB"/>
    <w:rsid w:val="000F463C"/>
    <w:rsid w:val="00153DA3"/>
    <w:rsid w:val="00376B67"/>
    <w:rsid w:val="00427B04"/>
    <w:rsid w:val="00522C6B"/>
    <w:rsid w:val="00897D57"/>
    <w:rsid w:val="00A55C27"/>
    <w:rsid w:val="00C90010"/>
    <w:rsid w:val="00DF6DAE"/>
    <w:rsid w:val="00F03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C168E"/>
  <w15:chartTrackingRefBased/>
  <w15:docId w15:val="{60E9B316-5CA5-4F3D-9BEB-1E55F0021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53DA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153DA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153DA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153DA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153DA3"/>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153DA3"/>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153DA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53DA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153DA3"/>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53DA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153DA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153DA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153DA3"/>
    <w:rPr>
      <w:rFonts w:cstheme="majorBidi"/>
      <w:color w:val="0F4761" w:themeColor="accent1" w:themeShade="BF"/>
      <w:sz w:val="28"/>
      <w:szCs w:val="28"/>
    </w:rPr>
  </w:style>
  <w:style w:type="character" w:customStyle="1" w:styleId="50">
    <w:name w:val="标题 5 字符"/>
    <w:basedOn w:val="a0"/>
    <w:link w:val="5"/>
    <w:uiPriority w:val="9"/>
    <w:semiHidden/>
    <w:rsid w:val="00153DA3"/>
    <w:rPr>
      <w:rFonts w:cstheme="majorBidi"/>
      <w:color w:val="0F4761" w:themeColor="accent1" w:themeShade="BF"/>
      <w:sz w:val="24"/>
      <w:szCs w:val="24"/>
    </w:rPr>
  </w:style>
  <w:style w:type="character" w:customStyle="1" w:styleId="60">
    <w:name w:val="标题 6 字符"/>
    <w:basedOn w:val="a0"/>
    <w:link w:val="6"/>
    <w:uiPriority w:val="9"/>
    <w:semiHidden/>
    <w:rsid w:val="00153DA3"/>
    <w:rPr>
      <w:rFonts w:cstheme="majorBidi"/>
      <w:b/>
      <w:bCs/>
      <w:color w:val="0F4761" w:themeColor="accent1" w:themeShade="BF"/>
    </w:rPr>
  </w:style>
  <w:style w:type="character" w:customStyle="1" w:styleId="70">
    <w:name w:val="标题 7 字符"/>
    <w:basedOn w:val="a0"/>
    <w:link w:val="7"/>
    <w:uiPriority w:val="9"/>
    <w:semiHidden/>
    <w:rsid w:val="00153DA3"/>
    <w:rPr>
      <w:rFonts w:cstheme="majorBidi"/>
      <w:b/>
      <w:bCs/>
      <w:color w:val="595959" w:themeColor="text1" w:themeTint="A6"/>
    </w:rPr>
  </w:style>
  <w:style w:type="character" w:customStyle="1" w:styleId="80">
    <w:name w:val="标题 8 字符"/>
    <w:basedOn w:val="a0"/>
    <w:link w:val="8"/>
    <w:uiPriority w:val="9"/>
    <w:semiHidden/>
    <w:rsid w:val="00153DA3"/>
    <w:rPr>
      <w:rFonts w:cstheme="majorBidi"/>
      <w:color w:val="595959" w:themeColor="text1" w:themeTint="A6"/>
    </w:rPr>
  </w:style>
  <w:style w:type="character" w:customStyle="1" w:styleId="90">
    <w:name w:val="标题 9 字符"/>
    <w:basedOn w:val="a0"/>
    <w:link w:val="9"/>
    <w:uiPriority w:val="9"/>
    <w:semiHidden/>
    <w:rsid w:val="00153DA3"/>
    <w:rPr>
      <w:rFonts w:eastAsiaTheme="majorEastAsia" w:cstheme="majorBidi"/>
      <w:color w:val="595959" w:themeColor="text1" w:themeTint="A6"/>
    </w:rPr>
  </w:style>
  <w:style w:type="paragraph" w:styleId="a3">
    <w:name w:val="Title"/>
    <w:basedOn w:val="a"/>
    <w:next w:val="a"/>
    <w:link w:val="a4"/>
    <w:uiPriority w:val="10"/>
    <w:qFormat/>
    <w:rsid w:val="00153DA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53DA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53DA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53DA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53DA3"/>
    <w:pPr>
      <w:spacing w:before="160" w:after="160"/>
      <w:jc w:val="center"/>
    </w:pPr>
    <w:rPr>
      <w:i/>
      <w:iCs/>
      <w:color w:val="404040" w:themeColor="text1" w:themeTint="BF"/>
    </w:rPr>
  </w:style>
  <w:style w:type="character" w:customStyle="1" w:styleId="a8">
    <w:name w:val="引用 字符"/>
    <w:basedOn w:val="a0"/>
    <w:link w:val="a7"/>
    <w:uiPriority w:val="29"/>
    <w:rsid w:val="00153DA3"/>
    <w:rPr>
      <w:i/>
      <w:iCs/>
      <w:color w:val="404040" w:themeColor="text1" w:themeTint="BF"/>
    </w:rPr>
  </w:style>
  <w:style w:type="paragraph" w:styleId="a9">
    <w:name w:val="List Paragraph"/>
    <w:basedOn w:val="a"/>
    <w:uiPriority w:val="34"/>
    <w:qFormat/>
    <w:rsid w:val="00153DA3"/>
    <w:pPr>
      <w:ind w:left="720"/>
      <w:contextualSpacing/>
    </w:pPr>
  </w:style>
  <w:style w:type="character" w:styleId="aa">
    <w:name w:val="Intense Emphasis"/>
    <w:basedOn w:val="a0"/>
    <w:uiPriority w:val="21"/>
    <w:qFormat/>
    <w:rsid w:val="00153DA3"/>
    <w:rPr>
      <w:i/>
      <w:iCs/>
      <w:color w:val="0F4761" w:themeColor="accent1" w:themeShade="BF"/>
    </w:rPr>
  </w:style>
  <w:style w:type="paragraph" w:styleId="ab">
    <w:name w:val="Intense Quote"/>
    <w:basedOn w:val="a"/>
    <w:next w:val="a"/>
    <w:link w:val="ac"/>
    <w:uiPriority w:val="30"/>
    <w:qFormat/>
    <w:rsid w:val="00153D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153DA3"/>
    <w:rPr>
      <w:i/>
      <w:iCs/>
      <w:color w:val="0F4761" w:themeColor="accent1" w:themeShade="BF"/>
    </w:rPr>
  </w:style>
  <w:style w:type="character" w:styleId="ad">
    <w:name w:val="Intense Reference"/>
    <w:basedOn w:val="a0"/>
    <w:uiPriority w:val="32"/>
    <w:qFormat/>
    <w:rsid w:val="00153DA3"/>
    <w:rPr>
      <w:b/>
      <w:bCs/>
      <w:smallCaps/>
      <w:color w:val="0F4761" w:themeColor="accent1" w:themeShade="BF"/>
      <w:spacing w:val="5"/>
    </w:rPr>
  </w:style>
  <w:style w:type="paragraph" w:styleId="ae">
    <w:name w:val="header"/>
    <w:basedOn w:val="a"/>
    <w:link w:val="af"/>
    <w:uiPriority w:val="99"/>
    <w:unhideWhenUsed/>
    <w:rsid w:val="00427B04"/>
    <w:pPr>
      <w:tabs>
        <w:tab w:val="center" w:pos="4153"/>
        <w:tab w:val="right" w:pos="8306"/>
      </w:tabs>
      <w:snapToGrid w:val="0"/>
      <w:jc w:val="center"/>
    </w:pPr>
    <w:rPr>
      <w:sz w:val="18"/>
      <w:szCs w:val="18"/>
    </w:rPr>
  </w:style>
  <w:style w:type="character" w:customStyle="1" w:styleId="af">
    <w:name w:val="页眉 字符"/>
    <w:basedOn w:val="a0"/>
    <w:link w:val="ae"/>
    <w:uiPriority w:val="99"/>
    <w:rsid w:val="00427B04"/>
    <w:rPr>
      <w:sz w:val="18"/>
      <w:szCs w:val="18"/>
    </w:rPr>
  </w:style>
  <w:style w:type="paragraph" w:styleId="af0">
    <w:name w:val="footer"/>
    <w:basedOn w:val="a"/>
    <w:link w:val="af1"/>
    <w:uiPriority w:val="99"/>
    <w:unhideWhenUsed/>
    <w:rsid w:val="00427B04"/>
    <w:pPr>
      <w:tabs>
        <w:tab w:val="center" w:pos="4153"/>
        <w:tab w:val="right" w:pos="8306"/>
      </w:tabs>
      <w:snapToGrid w:val="0"/>
      <w:jc w:val="left"/>
    </w:pPr>
    <w:rPr>
      <w:sz w:val="18"/>
      <w:szCs w:val="18"/>
    </w:rPr>
  </w:style>
  <w:style w:type="character" w:customStyle="1" w:styleId="af1">
    <w:name w:val="页脚 字符"/>
    <w:basedOn w:val="a0"/>
    <w:link w:val="af0"/>
    <w:uiPriority w:val="99"/>
    <w:rsid w:val="00427B04"/>
    <w:rPr>
      <w:sz w:val="18"/>
      <w:szCs w:val="18"/>
    </w:rPr>
  </w:style>
  <w:style w:type="character" w:styleId="af2">
    <w:name w:val="Hyperlink"/>
    <w:basedOn w:val="a0"/>
    <w:uiPriority w:val="99"/>
    <w:unhideWhenUsed/>
    <w:rsid w:val="00427B04"/>
    <w:rPr>
      <w:color w:val="467886" w:themeColor="hyperlink"/>
      <w:u w:val="single"/>
    </w:rPr>
  </w:style>
  <w:style w:type="character" w:styleId="af3">
    <w:name w:val="Unresolved Mention"/>
    <w:basedOn w:val="a0"/>
    <w:uiPriority w:val="99"/>
    <w:semiHidden/>
    <w:unhideWhenUsed/>
    <w:rsid w:val="00427B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hc.gov.cn/qjjys/c100016/202604/6d64fdc552ee49f4abba44831d189201/files/2.%E7%94%9F%E7%89%A9%E5%8C%BB%E5%AD%A6%E6%96%B0%E6%8A%80%E6%9C%AF%E4%B8%B4%E5%BA%8A%E8%BD%AC%E5%8C%96%E5%BA%94%E7%94%A8%E7%94%B3%E8%AF%B7%E5%BD%A2%E5%BC%8F%E5%AE%A1%E6%9F%A5%E6%9D%A1%E4%BB%B6%E8%A6%81%E6%B1%82.docx" TargetMode="External"/><Relationship Id="rId3" Type="http://schemas.openxmlformats.org/officeDocument/2006/relationships/webSettings" Target="webSettings.xml"/><Relationship Id="rId7" Type="http://schemas.openxmlformats.org/officeDocument/2006/relationships/hyperlink" Target="https://www.nhc.gov.cn/qjjys/c100016/202604/6d64fdc552ee49f4abba44831d189201/files/1.%E7%94%9F%E7%89%A9%E5%8C%BB%E5%AD%A6%E6%96%B0%E6%8A%80%E6%9C%AF%E4%B8%B4%E5%BA%8A%E8%BD%AC%E5%8C%96%E5%BA%94%E7%94%A8%E7%94%B3%E8%AF%B7%E4%B9%A6.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nhc.gov.cn/qjjys/c100016/202604/6d64fdc552ee49f4abba44831d189201/files/3.%E7%94%9F%E7%89%A9%E5%8C%BB%E5%AD%A6%E6%96%B0%E6%8A%80%E6%9C%AF%E4%B8%B4%E5%BA%8A%E8%BD%AC%E5%8C%96%E5%BA%94%E7%94%A8%E4%BC%98%E5%85%88%E5%AE%A1%E6%9F%A5%E5%AE%A1%E6%89%B9%E7%94%B3%E8%AF%B7%E8%A1%A8.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902</Words>
  <Characters>5143</Characters>
  <Application>Microsoft Office Word</Application>
  <DocSecurity>0</DocSecurity>
  <Lines>42</Lines>
  <Paragraphs>12</Paragraphs>
  <ScaleCrop>false</ScaleCrop>
  <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HYS</dc:creator>
  <cp:keywords/>
  <dc:description/>
  <cp:lastModifiedBy>HYS</cp:lastModifiedBy>
  <cp:revision>3</cp:revision>
  <dcterms:created xsi:type="dcterms:W3CDTF">2026-05-18T08:41:00Z</dcterms:created>
  <dcterms:modified xsi:type="dcterms:W3CDTF">2026-05-18T09:30:00Z</dcterms:modified>
</cp:coreProperties>
</file>